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CD" w:rsidRPr="003650E9" w:rsidRDefault="003650E9" w:rsidP="003650E9">
      <w:pPr>
        <w:jc w:val="center"/>
        <w:rPr>
          <w:rFonts w:ascii="Arial" w:hAnsi="Arial" w:cs="Arial"/>
          <w:b/>
          <w:sz w:val="32"/>
        </w:rPr>
      </w:pPr>
      <w:r w:rsidRPr="003650E9">
        <w:rPr>
          <w:rFonts w:ascii="Arial" w:hAnsi="Arial" w:cs="Arial"/>
          <w:b/>
          <w:sz w:val="32"/>
        </w:rPr>
        <w:t xml:space="preserve">Appendix 1: Scored Scrutiny Work Plan </w:t>
      </w:r>
      <w:proofErr w:type="spellStart"/>
      <w:r w:rsidRPr="003650E9">
        <w:rPr>
          <w:rFonts w:ascii="Arial" w:hAnsi="Arial" w:cs="Arial"/>
          <w:b/>
          <w:sz w:val="32"/>
        </w:rPr>
        <w:t>Longlist</w:t>
      </w:r>
      <w:proofErr w:type="spellEnd"/>
    </w:p>
    <w:p w:rsidR="009671E5" w:rsidRDefault="009671E5"/>
    <w:tbl>
      <w:tblPr>
        <w:tblW w:w="14040" w:type="dxa"/>
        <w:tblLook w:val="04A0" w:firstRow="1" w:lastRow="0" w:firstColumn="1" w:lastColumn="0" w:noHBand="0" w:noVBand="1"/>
      </w:tblPr>
      <w:tblGrid>
        <w:gridCol w:w="2972"/>
        <w:gridCol w:w="4028"/>
        <w:gridCol w:w="480"/>
        <w:gridCol w:w="480"/>
        <w:gridCol w:w="480"/>
        <w:gridCol w:w="480"/>
        <w:gridCol w:w="480"/>
        <w:gridCol w:w="480"/>
        <w:gridCol w:w="800"/>
        <w:gridCol w:w="3360"/>
      </w:tblGrid>
      <w:tr w:rsidR="003650E9" w:rsidRPr="003650E9" w:rsidTr="003650E9">
        <w:trPr>
          <w:cantSplit/>
          <w:trHeight w:val="280"/>
          <w:tblHeader/>
        </w:trPr>
        <w:tc>
          <w:tcPr>
            <w:tcW w:w="2972" w:type="dxa"/>
            <w:tcBorders>
              <w:top w:val="single" w:sz="4" w:space="0" w:color="auto"/>
              <w:left w:val="single" w:sz="4" w:space="0" w:color="auto"/>
              <w:bottom w:val="single" w:sz="4" w:space="0" w:color="auto"/>
              <w:right w:val="single" w:sz="4" w:space="0" w:color="auto"/>
            </w:tcBorders>
            <w:shd w:val="clear" w:color="000000" w:fill="D9D9D9"/>
            <w:hideMark/>
          </w:tcPr>
          <w:p w:rsidR="003650E9" w:rsidRPr="003650E9" w:rsidRDefault="003650E9" w:rsidP="003650E9">
            <w:pPr>
              <w:spacing w:after="0" w:line="240" w:lineRule="auto"/>
              <w:jc w:val="center"/>
              <w:rPr>
                <w:rFonts w:ascii="Arial" w:eastAsia="Times New Roman" w:hAnsi="Arial" w:cs="Arial"/>
                <w:b/>
                <w:bCs/>
                <w:color w:val="000000"/>
                <w:lang w:eastAsia="en-GB"/>
              </w:rPr>
            </w:pPr>
            <w:r w:rsidRPr="003650E9">
              <w:rPr>
                <w:rFonts w:ascii="Arial" w:eastAsia="Times New Roman" w:hAnsi="Arial" w:cs="Arial"/>
                <w:b/>
                <w:bCs/>
                <w:color w:val="000000"/>
                <w:lang w:eastAsia="en-GB"/>
              </w:rPr>
              <w:t>Item</w:t>
            </w:r>
          </w:p>
        </w:tc>
        <w:tc>
          <w:tcPr>
            <w:tcW w:w="4028"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rPr>
                <w:rFonts w:ascii="Arial" w:eastAsia="Times New Roman" w:hAnsi="Arial" w:cs="Arial"/>
                <w:b/>
                <w:bCs/>
                <w:color w:val="000000"/>
                <w:lang w:eastAsia="en-GB"/>
              </w:rPr>
            </w:pPr>
            <w:r w:rsidRPr="003650E9">
              <w:rPr>
                <w:rFonts w:ascii="Arial" w:eastAsia="Times New Roman" w:hAnsi="Arial" w:cs="Arial"/>
                <w:b/>
                <w:bCs/>
                <w:color w:val="000000"/>
                <w:lang w:eastAsia="en-GB"/>
              </w:rPr>
              <w:t>Description</w:t>
            </w:r>
          </w:p>
        </w:tc>
        <w:tc>
          <w:tcPr>
            <w:tcW w:w="480"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 </w:t>
            </w:r>
          </w:p>
        </w:tc>
        <w:tc>
          <w:tcPr>
            <w:tcW w:w="480"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O </w:t>
            </w:r>
          </w:p>
        </w:tc>
        <w:tc>
          <w:tcPr>
            <w:tcW w:w="480"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P</w:t>
            </w:r>
          </w:p>
        </w:tc>
        <w:tc>
          <w:tcPr>
            <w:tcW w:w="480"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I</w:t>
            </w:r>
          </w:p>
        </w:tc>
        <w:tc>
          <w:tcPr>
            <w:tcW w:w="480"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C</w:t>
            </w:r>
          </w:p>
        </w:tc>
        <w:tc>
          <w:tcPr>
            <w:tcW w:w="480"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C</w:t>
            </w:r>
          </w:p>
        </w:tc>
        <w:tc>
          <w:tcPr>
            <w:tcW w:w="800"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Total</w:t>
            </w:r>
          </w:p>
        </w:tc>
        <w:tc>
          <w:tcPr>
            <w:tcW w:w="3360" w:type="dxa"/>
            <w:tcBorders>
              <w:top w:val="single" w:sz="4" w:space="0" w:color="auto"/>
              <w:left w:val="nil"/>
              <w:bottom w:val="single" w:sz="4" w:space="0" w:color="auto"/>
              <w:right w:val="single" w:sz="4" w:space="0" w:color="auto"/>
            </w:tcBorders>
            <w:shd w:val="clear" w:color="000000" w:fill="D9D9D9"/>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Suggested Outcome</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Zero Emission Zone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Decision on whether to support Oxfordshire County Council's introduction of the Red Zone Zero Emission Zone</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11</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cantSplit/>
          <w:trHeight w:val="2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Apprentices and NEETs.</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the Council’s and Oxford Direct Service’s future plans for employing apprentices. This may include inviting the County Council to set out their work to support people not in education, employment or training (NEET).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sz w:val="24"/>
                <w:szCs w:val="24"/>
                <w:lang w:eastAsia="en-GB"/>
              </w:rPr>
              <w:t>Domestic Violence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the availability and suitability of domestic violence services in Oxford and ways in which they could be improved</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Review Group topic</w:t>
            </w:r>
          </w:p>
        </w:tc>
      </w:tr>
      <w:tr w:rsidR="003650E9" w:rsidRPr="003650E9" w:rsidTr="003650E9">
        <w:trPr>
          <w:trHeight w:val="2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4.</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Public participation in decision making and citizen involvement</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how the public could be better engaged with council decision making, such as through public meetings, consultations and other public forums, for example. A draft scoping document has been received for this item.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10</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Review Group topic</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lastRenderedPageBreak/>
              <w:t>5.</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Grant Allocations to Community and Voluntary Orgs 2021/22</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the proposal for next year’s grant allocations before it is presented to Cabinet for decision.</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10</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6.</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 Tourism Review Group update</w:t>
            </w:r>
          </w:p>
        </w:tc>
        <w:tc>
          <w:tcPr>
            <w:tcW w:w="4028" w:type="dxa"/>
            <w:tcBorders>
              <w:top w:val="nil"/>
              <w:left w:val="nil"/>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receive an update on the Council's progress against agreed recommendations from the Tourism Review Group</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7</w:t>
            </w:r>
          </w:p>
        </w:tc>
        <w:tc>
          <w:tcPr>
            <w:tcW w:w="336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Do not consider</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7.</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Air Quality Annual Status Report</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the Oxford Annual Air Quality Status Report for 2020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5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8.</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Workplace equalities</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the annual workplace equalities report.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9.</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East Oxford Community Centre Scheme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receive an update report on the progress of the East Oxford Community Centre scheme.</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12</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10.</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Acceptable Behaviours Consultation</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the outcome of the Acceptable Behaviours Consultation, and next steps.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8</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14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11.</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 xml:space="preserve">Sustainability Strategy </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The report will provide the revised Oxford Sustainability Strategy, which will set out the vision and steps for Oxford’s sustainable future.</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10</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5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12.    Annual Update on the Council Business Plan</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A report to update the Council Business Plan for 2021/22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13.</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Fusion Lifestyle performance  report</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Fusion Lifestyle’s performance dashboard for leisure services.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28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lastRenderedPageBreak/>
              <w:t xml:space="preserve">14.     </w:t>
            </w:r>
            <w:proofErr w:type="spellStart"/>
            <w:r w:rsidRPr="003650E9">
              <w:rPr>
                <w:rFonts w:ascii="Arial" w:eastAsia="Times New Roman" w:hAnsi="Arial" w:cs="Arial"/>
                <w:color w:val="000000"/>
                <w:lang w:eastAsia="en-GB"/>
              </w:rPr>
              <w:t>Oxpens</w:t>
            </w:r>
            <w:proofErr w:type="spellEnd"/>
            <w:r w:rsidRPr="003650E9">
              <w:rPr>
                <w:rFonts w:ascii="Arial" w:eastAsia="Times New Roman" w:hAnsi="Arial" w:cs="Arial"/>
                <w:color w:val="000000"/>
                <w:lang w:eastAsia="en-GB"/>
              </w:rPr>
              <w:t xml:space="preserve"> Redevelopment Update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An update position on the redevelopment of the </w:t>
            </w:r>
            <w:proofErr w:type="spellStart"/>
            <w:r w:rsidRPr="003650E9">
              <w:rPr>
                <w:rFonts w:ascii="Arial" w:eastAsia="Times New Roman" w:hAnsi="Arial" w:cs="Arial"/>
                <w:color w:val="000000"/>
                <w:lang w:eastAsia="en-GB"/>
              </w:rPr>
              <w:t>Oxpens</w:t>
            </w:r>
            <w:proofErr w:type="spellEnd"/>
            <w:r w:rsidRPr="003650E9">
              <w:rPr>
                <w:rFonts w:ascii="Arial" w:eastAsia="Times New Roman" w:hAnsi="Arial" w:cs="Arial"/>
                <w:color w:val="000000"/>
                <w:lang w:eastAsia="en-GB"/>
              </w:rPr>
              <w:t xml:space="preserve"> Lane key City Centre site; the required delivery structure to take the project forward; and the Heads of Terms discussions. The City Council has formed a joint venture company, </w:t>
            </w:r>
            <w:proofErr w:type="spellStart"/>
            <w:r w:rsidRPr="003650E9">
              <w:rPr>
                <w:rFonts w:ascii="Arial" w:eastAsia="Times New Roman" w:hAnsi="Arial" w:cs="Arial"/>
                <w:color w:val="000000"/>
                <w:lang w:eastAsia="en-GB"/>
              </w:rPr>
              <w:t>OxWED</w:t>
            </w:r>
            <w:proofErr w:type="spellEnd"/>
            <w:r w:rsidRPr="003650E9">
              <w:rPr>
                <w:rFonts w:ascii="Arial" w:eastAsia="Times New Roman" w:hAnsi="Arial" w:cs="Arial"/>
                <w:color w:val="000000"/>
                <w:lang w:eastAsia="en-GB"/>
              </w:rPr>
              <w:t>, with Nuffield College to progress the delivery of this scheme</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11</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2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15.</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 xml:space="preserve">Council engagement with Oxford’s diverse communities / Equalities Strategy </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Following this suggestion by the Committee last year, the Council intends to carry out a full assessment of the Council’s key services against the LGA’s equalities framework. The timescale for completion is under review.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11</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Include within Review Group scope</w:t>
            </w:r>
          </w:p>
        </w:tc>
      </w:tr>
      <w:tr w:rsidR="003650E9" w:rsidRPr="003650E9" w:rsidTr="003650E9">
        <w:trPr>
          <w:trHeight w:val="14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16.</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Climate Emergency Review Group Update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an update on progress against the recommendations and agreed actions from the Climate Emergency Review Group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8</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1960"/>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17. Implications of Council Business Plan for Housing</w:t>
            </w:r>
          </w:p>
        </w:tc>
        <w:tc>
          <w:tcPr>
            <w:tcW w:w="4028" w:type="dxa"/>
            <w:tcBorders>
              <w:top w:val="nil"/>
              <w:left w:val="nil"/>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receive an update on how the Council's new Business Plan will impact on Housing, particularly in relation to working with Housing Associations to deliver Council objectives, tenant satisfaction and repairs</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6</w:t>
            </w:r>
          </w:p>
        </w:tc>
        <w:tc>
          <w:tcPr>
            <w:tcW w:w="336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Do not consider</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lastRenderedPageBreak/>
              <w:t>18.</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Tenant Satisfaction</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the outcome of the Tenant Satisfaction Survey for council tenants.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8</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Housing and Homelessness Panel</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19.</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sz w:val="24"/>
                <w:szCs w:val="24"/>
                <w:lang w:eastAsia="en-GB"/>
              </w:rPr>
              <w:t>Zero Carbon Oxford</w:t>
            </w:r>
          </w:p>
        </w:tc>
        <w:tc>
          <w:tcPr>
            <w:tcW w:w="4028" w:type="dxa"/>
            <w:tcBorders>
              <w:top w:val="nil"/>
              <w:left w:val="nil"/>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hear progress made and plans for the </w:t>
            </w:r>
            <w:proofErr w:type="spellStart"/>
            <w:r w:rsidRPr="003650E9">
              <w:rPr>
                <w:rFonts w:ascii="Arial" w:eastAsia="Times New Roman" w:hAnsi="Arial" w:cs="Arial"/>
                <w:color w:val="000000"/>
                <w:lang w:eastAsia="en-GB"/>
              </w:rPr>
              <w:t>relaunch</w:t>
            </w:r>
            <w:proofErr w:type="spellEnd"/>
            <w:r w:rsidRPr="003650E9">
              <w:rPr>
                <w:rFonts w:ascii="Arial" w:eastAsia="Times New Roman" w:hAnsi="Arial" w:cs="Arial"/>
                <w:color w:val="000000"/>
                <w:lang w:eastAsia="en-GB"/>
              </w:rPr>
              <w:t xml:space="preserve"> of Zero Carbon Oxford</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7</w:t>
            </w:r>
          </w:p>
        </w:tc>
        <w:tc>
          <w:tcPr>
            <w:tcW w:w="336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Do not consider</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20.</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Budget Review 2019/20 recommendations</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an update report on the implementation of the Panel’s Budget Review 2019/20 recommendations.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8</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14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21.</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Budget 2020/21</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review the Council’s annual budget, medium term financial plan, HRA business plan, capital programme and fees and charges.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12</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22.</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 xml:space="preserve">Treasury </w:t>
            </w:r>
            <w:proofErr w:type="spellStart"/>
            <w:r w:rsidRPr="003650E9">
              <w:rPr>
                <w:rFonts w:ascii="Arial" w:eastAsia="Times New Roman" w:hAnsi="Arial" w:cs="Arial"/>
                <w:color w:val="000000"/>
                <w:lang w:eastAsia="en-GB"/>
              </w:rPr>
              <w:t>Mid Year</w:t>
            </w:r>
            <w:proofErr w:type="spellEnd"/>
            <w:r w:rsidRPr="003650E9">
              <w:rPr>
                <w:rFonts w:ascii="Arial" w:eastAsia="Times New Roman" w:hAnsi="Arial" w:cs="Arial"/>
                <w:color w:val="000000"/>
                <w:lang w:eastAsia="en-GB"/>
              </w:rPr>
              <w:t xml:space="preserve"> performance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the performance of the Council’s Treasury Management Function at 6 monthly intervals. </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11</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5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23.</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Capital Strategy 2021/22</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the Council’s Capital Strategy for 2021/22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11</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24.</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Treasury Management Strategy 2021/22</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present the Council’s Treasury Management Strategy for 2021/22 together with the Prudential Indicators.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10</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14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25.</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Monitoring social value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receive an update report on the implementation of the Council's social value considerations in procurement, next steps and lessons learned</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10</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lastRenderedPageBreak/>
              <w:t>26. Integrated Performance Reports</w:t>
            </w:r>
          </w:p>
        </w:tc>
        <w:tc>
          <w:tcPr>
            <w:tcW w:w="4028" w:type="dxa"/>
            <w:tcBorders>
              <w:top w:val="nil"/>
              <w:left w:val="nil"/>
              <w:bottom w:val="single" w:sz="4" w:space="0" w:color="auto"/>
              <w:right w:val="single" w:sz="4" w:space="0" w:color="auto"/>
            </w:tcBorders>
            <w:shd w:val="clear" w:color="000000" w:fill="FFFFFF"/>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Quarterly reports to update Members on Finance, Risk and Performance</w:t>
            </w:r>
          </w:p>
        </w:tc>
        <w:tc>
          <w:tcPr>
            <w:tcW w:w="480" w:type="dxa"/>
            <w:tcBorders>
              <w:top w:val="nil"/>
              <w:left w:val="nil"/>
              <w:bottom w:val="single" w:sz="4" w:space="0" w:color="auto"/>
              <w:right w:val="single" w:sz="4" w:space="0" w:color="auto"/>
            </w:tcBorders>
            <w:shd w:val="clear" w:color="000000" w:fill="FFFFFF"/>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FFFFF"/>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000000" w:fill="FFFFFF"/>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000000" w:fill="FFFFFF"/>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FFFFF"/>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FFFFF"/>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000000" w:fill="FFFFFF"/>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13</w:t>
            </w:r>
          </w:p>
        </w:tc>
        <w:tc>
          <w:tcPr>
            <w:tcW w:w="3360" w:type="dxa"/>
            <w:tcBorders>
              <w:top w:val="nil"/>
              <w:left w:val="nil"/>
              <w:bottom w:val="single" w:sz="4" w:space="0" w:color="auto"/>
              <w:right w:val="single" w:sz="4" w:space="0" w:color="auto"/>
            </w:tcBorders>
            <w:shd w:val="clear" w:color="000000" w:fill="FFFFFF"/>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5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27.</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Council Tax Support Scheme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the annual review of the Council Tax Support Scheme.</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28.</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Council performance (4 items)</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track Council performance on a quarterly basis against a selection of corporate and service measures.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10</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1400"/>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29, CIL Charging Schedule Review</w:t>
            </w:r>
          </w:p>
        </w:tc>
        <w:tc>
          <w:tcPr>
            <w:tcW w:w="4028" w:type="dxa"/>
            <w:tcBorders>
              <w:top w:val="nil"/>
              <w:left w:val="nil"/>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Review of CIL charging schedule - To seek approval to consult on a new Community Infrastructure Levy (CIL) Draft Charging Schedule</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6</w:t>
            </w:r>
          </w:p>
        </w:tc>
        <w:tc>
          <w:tcPr>
            <w:tcW w:w="336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Do not consider</w:t>
            </w:r>
          </w:p>
        </w:tc>
      </w:tr>
      <w:tr w:rsidR="003650E9" w:rsidRPr="003650E9" w:rsidTr="003650E9">
        <w:trPr>
          <w:trHeight w:val="1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30. Infrastructure Funding Statement</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sz w:val="24"/>
                <w:szCs w:val="24"/>
                <w:lang w:eastAsia="en-GB"/>
              </w:rPr>
            </w:pPr>
            <w:r w:rsidRPr="003650E9">
              <w:rPr>
                <w:rFonts w:ascii="Arial" w:eastAsia="Times New Roman" w:hAnsi="Arial" w:cs="Arial"/>
                <w:color w:val="000000"/>
                <w:sz w:val="24"/>
                <w:szCs w:val="24"/>
                <w:lang w:eastAsia="en-GB"/>
              </w:rPr>
              <w:t>Report on receipt, expenditure and future expenditure of CIL and S106 contributions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10</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31. Annual Monitoring Statement</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sz w:val="24"/>
                <w:szCs w:val="24"/>
                <w:lang w:eastAsia="en-GB"/>
              </w:rPr>
            </w:pPr>
            <w:r w:rsidRPr="003650E9">
              <w:rPr>
                <w:rFonts w:ascii="Arial" w:eastAsia="Times New Roman" w:hAnsi="Arial" w:cs="Arial"/>
                <w:color w:val="000000"/>
                <w:sz w:val="24"/>
                <w:szCs w:val="24"/>
                <w:lang w:eastAsia="en-GB"/>
              </w:rPr>
              <w:t>To approve the Annual Monitoring Report for publication.</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8</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14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32. Additional HMO Licensing</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report on the findings of the consultation and to seek approval for the next steps in relation to additional HMO licensing in the city</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10</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Housing and Homelessness Panel</w:t>
            </w:r>
          </w:p>
        </w:tc>
      </w:tr>
      <w:tr w:rsidR="003650E9" w:rsidRPr="003650E9" w:rsidTr="003650E9">
        <w:trPr>
          <w:trHeight w:val="1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lastRenderedPageBreak/>
              <w:t>33. Update of Housing Assistance and Disabled Adaptions Policy</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sz w:val="24"/>
                <w:szCs w:val="24"/>
                <w:lang w:eastAsia="en-GB"/>
              </w:rPr>
            </w:pPr>
            <w:r w:rsidRPr="003650E9">
              <w:rPr>
                <w:rFonts w:ascii="Arial" w:eastAsia="Times New Roman" w:hAnsi="Arial" w:cs="Arial"/>
                <w:color w:val="000000"/>
                <w:sz w:val="24"/>
                <w:szCs w:val="24"/>
                <w:lang w:eastAsia="en-GB"/>
              </w:rPr>
              <w:t>Minor changes to allow clarification around discretionary grant and joint custody arrangements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Housing and Homelessness Panel</w:t>
            </w:r>
          </w:p>
        </w:tc>
      </w:tr>
      <w:tr w:rsidR="003650E9" w:rsidRPr="003650E9" w:rsidTr="003650E9">
        <w:trPr>
          <w:trHeight w:val="1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34. Safeguarding Report 2020/21</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sz w:val="24"/>
                <w:szCs w:val="24"/>
                <w:lang w:eastAsia="en-GB"/>
              </w:rPr>
            </w:pPr>
            <w:r w:rsidRPr="003650E9">
              <w:rPr>
                <w:rFonts w:ascii="Arial" w:eastAsia="Times New Roman" w:hAnsi="Arial" w:cs="Arial"/>
                <w:color w:val="000000"/>
                <w:sz w:val="24"/>
                <w:szCs w:val="24"/>
                <w:lang w:eastAsia="en-GB"/>
              </w:rPr>
              <w:t>To report on the progress made on the Oxford City Council’s Safeguarding Action Plan 2019/20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35. Allocation of Homelessness Prevention Funds 2021/22</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A report to approve the allocation of homelessness prevention funds for 2021/22.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Housing and Homelessness Panel</w:t>
            </w:r>
          </w:p>
        </w:tc>
      </w:tr>
      <w:tr w:rsidR="003650E9" w:rsidRPr="003650E9" w:rsidTr="003650E9">
        <w:trPr>
          <w:trHeight w:val="168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36. Capitalisation of energy efficiency measures</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the potential of a plan akin to that of Notting City Homes' 'Comfort Payment' as a means of diverting tenant energy spend towards funding energy efficiency measures.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Housing and Homelessness Panel</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37. Retrofitting Plans</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receive an update on the Council's retrofitting plans for its housing stock</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Housing and Homelessness Panel</w:t>
            </w:r>
          </w:p>
        </w:tc>
      </w:tr>
      <w:tr w:rsidR="003650E9" w:rsidRPr="003650E9" w:rsidTr="003650E9">
        <w:trPr>
          <w:trHeight w:val="14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38. Zero Carbon Building Pilot report</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receive an </w:t>
            </w:r>
            <w:proofErr w:type="spellStart"/>
            <w:r w:rsidRPr="003650E9">
              <w:rPr>
                <w:rFonts w:ascii="Arial" w:eastAsia="Times New Roman" w:hAnsi="Arial" w:cs="Arial"/>
                <w:color w:val="000000"/>
                <w:lang w:eastAsia="en-GB"/>
              </w:rPr>
              <w:t>udate</w:t>
            </w:r>
            <w:proofErr w:type="spellEnd"/>
            <w:r w:rsidRPr="003650E9">
              <w:rPr>
                <w:rFonts w:ascii="Arial" w:eastAsia="Times New Roman" w:hAnsi="Arial" w:cs="Arial"/>
                <w:color w:val="000000"/>
                <w:lang w:eastAsia="en-GB"/>
              </w:rPr>
              <w:t xml:space="preserve"> on the learnings from the Council's Zero Carbon pilot project and its applicability for the Council's future house-building plans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39. Council Borrowing Options</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present the different sources of borrowing for the Council and their benefits and drawbacks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9</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Finance and Performance Panel</w:t>
            </w:r>
          </w:p>
        </w:tc>
      </w:tr>
      <w:tr w:rsidR="003650E9" w:rsidRPr="003650E9" w:rsidTr="003650E9">
        <w:trPr>
          <w:trHeight w:val="1120"/>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lastRenderedPageBreak/>
              <w:t>40. Empty Properties in the Private Rented Sector</w:t>
            </w:r>
          </w:p>
        </w:tc>
        <w:tc>
          <w:tcPr>
            <w:tcW w:w="4028" w:type="dxa"/>
            <w:tcBorders>
              <w:top w:val="nil"/>
              <w:left w:val="nil"/>
              <w:bottom w:val="single" w:sz="4" w:space="0" w:color="auto"/>
              <w:right w:val="single" w:sz="4" w:space="0" w:color="auto"/>
            </w:tcBorders>
            <w:shd w:val="clear" w:color="000000" w:fill="F2F2F2"/>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the steps the Council may take to reduce the number of empty private residential properties</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48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6</w:t>
            </w:r>
          </w:p>
        </w:tc>
        <w:tc>
          <w:tcPr>
            <w:tcW w:w="3360" w:type="dxa"/>
            <w:tcBorders>
              <w:top w:val="nil"/>
              <w:left w:val="nil"/>
              <w:bottom w:val="single" w:sz="4" w:space="0" w:color="auto"/>
              <w:right w:val="single" w:sz="4" w:space="0" w:color="auto"/>
            </w:tcBorders>
            <w:shd w:val="clear" w:color="000000" w:fill="F2F2F2"/>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Do not consider</w:t>
            </w:r>
          </w:p>
        </w:tc>
      </w:tr>
      <w:tr w:rsidR="003650E9" w:rsidRPr="003650E9" w:rsidTr="003650E9">
        <w:trPr>
          <w:trHeight w:val="14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41. Floyds Row update</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 xml:space="preserve">To consider an </w:t>
            </w:r>
            <w:proofErr w:type="spellStart"/>
            <w:r w:rsidRPr="003650E9">
              <w:rPr>
                <w:rFonts w:ascii="Arial" w:eastAsia="Times New Roman" w:hAnsi="Arial" w:cs="Arial"/>
                <w:color w:val="000000"/>
                <w:lang w:eastAsia="en-GB"/>
              </w:rPr>
              <w:t>udpate</w:t>
            </w:r>
            <w:proofErr w:type="spellEnd"/>
            <w:r w:rsidRPr="003650E9">
              <w:rPr>
                <w:rFonts w:ascii="Arial" w:eastAsia="Times New Roman" w:hAnsi="Arial" w:cs="Arial"/>
                <w:color w:val="000000"/>
                <w:lang w:eastAsia="en-GB"/>
              </w:rPr>
              <w:t xml:space="preserve"> reports on the impact of Floyds Row, the learnings, and to make suggestions prior to tendering for any new contracts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11</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Housing and Homelessness Panel</w:t>
            </w:r>
          </w:p>
        </w:tc>
      </w:tr>
      <w:tr w:rsidR="003650E9" w:rsidRPr="003650E9" w:rsidTr="003650E9">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42. Housing Performance</w:t>
            </w:r>
          </w:p>
        </w:tc>
        <w:tc>
          <w:tcPr>
            <w:tcW w:w="4028"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quarterly reports on the Council's housing performance against its KPIs</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right"/>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right"/>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right"/>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right"/>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right"/>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right"/>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11</w:t>
            </w:r>
          </w:p>
        </w:tc>
        <w:tc>
          <w:tcPr>
            <w:tcW w:w="3360" w:type="dxa"/>
            <w:tcBorders>
              <w:top w:val="nil"/>
              <w:left w:val="nil"/>
              <w:bottom w:val="single" w:sz="4" w:space="0" w:color="auto"/>
              <w:right w:val="single" w:sz="4" w:space="0" w:color="auto"/>
            </w:tcBorders>
            <w:shd w:val="clear" w:color="auto" w:fill="auto"/>
            <w:vAlign w:val="bottom"/>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Housing and Homelessness Panel</w:t>
            </w:r>
          </w:p>
        </w:tc>
      </w:tr>
      <w:tr w:rsidR="003650E9" w:rsidRPr="003650E9" w:rsidTr="003650E9">
        <w:trPr>
          <w:trHeight w:val="5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43.</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Oxford’s waterways</w:t>
            </w:r>
          </w:p>
        </w:tc>
        <w:tc>
          <w:tcPr>
            <w:tcW w:w="4028" w:type="dxa"/>
            <w:tcBorders>
              <w:top w:val="nil"/>
              <w:left w:val="nil"/>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To consider the progress made by the Oxford Waterways Project</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2</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3</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1</w:t>
            </w:r>
          </w:p>
        </w:tc>
        <w:tc>
          <w:tcPr>
            <w:tcW w:w="48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0</w:t>
            </w:r>
          </w:p>
        </w:tc>
        <w:tc>
          <w:tcPr>
            <w:tcW w:w="80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jc w:val="center"/>
              <w:rPr>
                <w:rFonts w:ascii="Arial" w:eastAsia="Times New Roman" w:hAnsi="Arial" w:cs="Arial"/>
                <w:color w:val="000000"/>
                <w:lang w:eastAsia="en-GB"/>
              </w:rPr>
            </w:pPr>
            <w:r w:rsidRPr="003650E9">
              <w:rPr>
                <w:rFonts w:ascii="Arial" w:eastAsia="Times New Roman" w:hAnsi="Arial" w:cs="Arial"/>
                <w:color w:val="000000"/>
                <w:lang w:eastAsia="en-GB"/>
              </w:rPr>
              <w:t>8</w:t>
            </w:r>
          </w:p>
        </w:tc>
        <w:tc>
          <w:tcPr>
            <w:tcW w:w="3360" w:type="dxa"/>
            <w:tcBorders>
              <w:top w:val="nil"/>
              <w:left w:val="nil"/>
              <w:bottom w:val="single" w:sz="4" w:space="0" w:color="auto"/>
              <w:right w:val="single" w:sz="4" w:space="0" w:color="auto"/>
            </w:tcBorders>
            <w:shd w:val="clear" w:color="auto" w:fill="auto"/>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Refer to Scrutiny</w:t>
            </w:r>
          </w:p>
        </w:tc>
      </w:tr>
    </w:tbl>
    <w:p w:rsidR="009671E5" w:rsidRDefault="009671E5"/>
    <w:p w:rsidR="003650E9" w:rsidRDefault="003650E9">
      <w:r>
        <w:t xml:space="preserve">Please see summary </w:t>
      </w:r>
      <w:r w:rsidR="00A01DD9">
        <w:t xml:space="preserve">of suggested topics overleaf. NB Some Panel meetings may not coincide with Cabinet timetables, which may require the full Scrutiny Committee to consider items instead. </w:t>
      </w:r>
    </w:p>
    <w:p w:rsidR="003650E9" w:rsidRDefault="003650E9">
      <w:pPr>
        <w:sectPr w:rsidR="003650E9" w:rsidSect="009671E5">
          <w:pgSz w:w="16838" w:h="11906" w:orient="landscape"/>
          <w:pgMar w:top="1440" w:right="1440" w:bottom="1440" w:left="1440" w:header="708" w:footer="708" w:gutter="0"/>
          <w:cols w:space="708"/>
          <w:docGrid w:linePitch="360"/>
        </w:sectPr>
      </w:pPr>
    </w:p>
    <w:p w:rsidR="003650E9" w:rsidRDefault="003650E9">
      <w:pPr>
        <w:rPr>
          <w:rFonts w:ascii="Arial" w:hAnsi="Arial" w:cs="Arial"/>
          <w:b/>
          <w:sz w:val="32"/>
        </w:rPr>
      </w:pPr>
      <w:r w:rsidRPr="003650E9">
        <w:rPr>
          <w:rFonts w:ascii="Arial" w:hAnsi="Arial" w:cs="Arial"/>
          <w:b/>
          <w:sz w:val="32"/>
        </w:rPr>
        <w:lastRenderedPageBreak/>
        <w:t>Summary</w:t>
      </w:r>
    </w:p>
    <w:p w:rsidR="003650E9" w:rsidRPr="003650E9" w:rsidRDefault="003650E9">
      <w:pPr>
        <w:rPr>
          <w:rFonts w:ascii="Arial" w:hAnsi="Arial" w:cs="Arial"/>
          <w:sz w:val="24"/>
          <w:u w:val="single"/>
        </w:rPr>
      </w:pPr>
      <w:r w:rsidRPr="003650E9">
        <w:rPr>
          <w:rFonts w:ascii="Arial" w:hAnsi="Arial" w:cs="Arial"/>
          <w:sz w:val="24"/>
          <w:u w:val="single"/>
        </w:rPr>
        <w:t>Scrutiny Committee</w:t>
      </w:r>
    </w:p>
    <w:tbl>
      <w:tblPr>
        <w:tblW w:w="6516" w:type="dxa"/>
        <w:tblLook w:val="04A0" w:firstRow="1" w:lastRow="0" w:firstColumn="1" w:lastColumn="0" w:noHBand="0" w:noVBand="1"/>
      </w:tblPr>
      <w:tblGrid>
        <w:gridCol w:w="6516"/>
      </w:tblGrid>
      <w:tr w:rsidR="003650E9" w:rsidRPr="003650E9" w:rsidTr="00A01DD9">
        <w:trPr>
          <w:trHeight w:val="51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0E9" w:rsidRPr="00A01DD9" w:rsidRDefault="003650E9" w:rsidP="00A01DD9">
            <w:pPr>
              <w:pStyle w:val="ListParagraph"/>
              <w:numPr>
                <w:ilvl w:val="0"/>
                <w:numId w:val="1"/>
              </w:numPr>
              <w:spacing w:after="0" w:line="240" w:lineRule="auto"/>
              <w:ind w:left="360"/>
              <w:rPr>
                <w:rFonts w:ascii="Arial" w:eastAsia="Times New Roman" w:hAnsi="Arial" w:cs="Arial"/>
                <w:color w:val="000000"/>
                <w:lang w:eastAsia="en-GB"/>
              </w:rPr>
            </w:pPr>
            <w:r w:rsidRPr="00A01DD9">
              <w:rPr>
                <w:rFonts w:ascii="Arial" w:eastAsia="Times New Roman" w:hAnsi="Arial" w:cs="Arial"/>
                <w:color w:val="000000"/>
                <w:lang w:eastAsia="en-GB"/>
              </w:rPr>
              <w:t>Zero Emission Zone</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A01DD9" w:rsidRDefault="003650E9" w:rsidP="00A01DD9">
            <w:pPr>
              <w:pStyle w:val="ListParagraph"/>
              <w:numPr>
                <w:ilvl w:val="0"/>
                <w:numId w:val="1"/>
              </w:numPr>
              <w:spacing w:after="0" w:line="240" w:lineRule="auto"/>
              <w:ind w:left="360"/>
              <w:rPr>
                <w:rFonts w:ascii="Arial" w:eastAsia="Times New Roman" w:hAnsi="Arial" w:cs="Arial"/>
                <w:color w:val="000000"/>
                <w:lang w:eastAsia="en-GB"/>
              </w:rPr>
            </w:pPr>
            <w:r w:rsidRPr="00A01DD9">
              <w:rPr>
                <w:rFonts w:ascii="Arial" w:eastAsia="Times New Roman" w:hAnsi="Arial" w:cs="Arial"/>
                <w:color w:val="000000"/>
                <w:sz w:val="14"/>
                <w:szCs w:val="14"/>
                <w:lang w:eastAsia="en-GB"/>
              </w:rPr>
              <w:t xml:space="preserve"> </w:t>
            </w:r>
            <w:r w:rsidRPr="00A01DD9">
              <w:rPr>
                <w:rFonts w:ascii="Arial" w:eastAsia="Times New Roman" w:hAnsi="Arial" w:cs="Arial"/>
                <w:color w:val="000000"/>
                <w:lang w:eastAsia="en-GB"/>
              </w:rPr>
              <w:t>Apprentices and NEETs.</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5. </w:t>
            </w:r>
            <w:r w:rsidR="003650E9" w:rsidRPr="003650E9">
              <w:rPr>
                <w:rFonts w:ascii="Arial" w:eastAsia="Times New Roman" w:hAnsi="Arial" w:cs="Arial"/>
                <w:color w:val="000000"/>
                <w:lang w:eastAsia="en-GB"/>
              </w:rPr>
              <w:t>Grant Allocations to Community and Voluntary Orgs 2021/22</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7. </w:t>
            </w:r>
            <w:r w:rsidR="003650E9" w:rsidRPr="003650E9">
              <w:rPr>
                <w:rFonts w:ascii="Arial" w:eastAsia="Times New Roman" w:hAnsi="Arial" w:cs="Arial"/>
                <w:color w:val="000000"/>
                <w:lang w:eastAsia="en-GB"/>
              </w:rPr>
              <w:t>Air Quality Annual Status Report</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8. </w:t>
            </w:r>
            <w:r w:rsidR="003650E9" w:rsidRPr="003650E9">
              <w:rPr>
                <w:rFonts w:ascii="Arial" w:eastAsia="Times New Roman" w:hAnsi="Arial" w:cs="Arial"/>
                <w:color w:val="000000"/>
                <w:lang w:eastAsia="en-GB"/>
              </w:rPr>
              <w:t>Workplace equalities</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9. </w:t>
            </w:r>
            <w:r w:rsidR="003650E9" w:rsidRPr="003650E9">
              <w:rPr>
                <w:rFonts w:ascii="Arial" w:eastAsia="Times New Roman" w:hAnsi="Arial" w:cs="Arial"/>
                <w:color w:val="000000"/>
                <w:lang w:eastAsia="en-GB"/>
              </w:rPr>
              <w:t>East Oxford Community Centre Scheme</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 </w:t>
            </w:r>
            <w:r w:rsidR="003650E9" w:rsidRPr="003650E9">
              <w:rPr>
                <w:rFonts w:ascii="Arial" w:eastAsia="Times New Roman" w:hAnsi="Arial" w:cs="Arial"/>
                <w:color w:val="000000"/>
                <w:lang w:eastAsia="en-GB"/>
              </w:rPr>
              <w:t>Acceptable Behaviours Consultation</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 </w:t>
            </w:r>
            <w:r w:rsidR="003650E9" w:rsidRPr="003650E9">
              <w:rPr>
                <w:rFonts w:ascii="Arial" w:eastAsia="Times New Roman" w:hAnsi="Arial" w:cs="Arial"/>
                <w:color w:val="000000"/>
                <w:lang w:eastAsia="en-GB"/>
              </w:rPr>
              <w:t xml:space="preserve">Sustainability Strategy </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 </w:t>
            </w:r>
            <w:r w:rsidR="003650E9" w:rsidRPr="003650E9">
              <w:rPr>
                <w:rFonts w:ascii="Arial" w:eastAsia="Times New Roman" w:hAnsi="Arial" w:cs="Arial"/>
                <w:color w:val="000000"/>
                <w:lang w:eastAsia="en-GB"/>
              </w:rPr>
              <w:t>Annual Update on the Council Business Plan</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 </w:t>
            </w:r>
            <w:proofErr w:type="spellStart"/>
            <w:r w:rsidR="003650E9" w:rsidRPr="003650E9">
              <w:rPr>
                <w:rFonts w:ascii="Arial" w:eastAsia="Times New Roman" w:hAnsi="Arial" w:cs="Arial"/>
                <w:color w:val="000000"/>
                <w:lang w:eastAsia="en-GB"/>
              </w:rPr>
              <w:t>Oxpens</w:t>
            </w:r>
            <w:proofErr w:type="spellEnd"/>
            <w:r w:rsidR="003650E9" w:rsidRPr="003650E9">
              <w:rPr>
                <w:rFonts w:ascii="Arial" w:eastAsia="Times New Roman" w:hAnsi="Arial" w:cs="Arial"/>
                <w:color w:val="000000"/>
                <w:lang w:eastAsia="en-GB"/>
              </w:rPr>
              <w:t xml:space="preserve"> Redevelopment Update</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 </w:t>
            </w:r>
            <w:r w:rsidR="003650E9" w:rsidRPr="003650E9">
              <w:rPr>
                <w:rFonts w:ascii="Arial" w:eastAsia="Times New Roman" w:hAnsi="Arial" w:cs="Arial"/>
                <w:color w:val="000000"/>
                <w:lang w:eastAsia="en-GB"/>
              </w:rPr>
              <w:t>Climate Emergency Review Group Update</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27. </w:t>
            </w:r>
            <w:r w:rsidR="003650E9" w:rsidRPr="003650E9">
              <w:rPr>
                <w:rFonts w:ascii="Arial" w:eastAsia="Times New Roman" w:hAnsi="Arial" w:cs="Arial"/>
                <w:color w:val="000000"/>
                <w:lang w:eastAsia="en-GB"/>
              </w:rPr>
              <w:t>Council Tax Support Scheme</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31. </w:t>
            </w:r>
            <w:r w:rsidR="003650E9" w:rsidRPr="003650E9">
              <w:rPr>
                <w:rFonts w:ascii="Arial" w:eastAsia="Times New Roman" w:hAnsi="Arial" w:cs="Arial"/>
                <w:color w:val="000000"/>
                <w:lang w:eastAsia="en-GB"/>
              </w:rPr>
              <w:t>Annual Monitoring Statement</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34. Safeguarding Report 2020/21</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38. Zero Carbon Building Pilot report</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A01DD9" w:rsidP="003650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43.</w:t>
            </w:r>
            <w:r w:rsidR="003650E9" w:rsidRPr="003650E9">
              <w:rPr>
                <w:rFonts w:ascii="Arial" w:eastAsia="Times New Roman" w:hAnsi="Arial" w:cs="Arial"/>
                <w:color w:val="000000"/>
                <w:sz w:val="14"/>
                <w:szCs w:val="14"/>
                <w:lang w:eastAsia="en-GB"/>
              </w:rPr>
              <w:t xml:space="preserve"> </w:t>
            </w:r>
            <w:r w:rsidR="003650E9" w:rsidRPr="003650E9">
              <w:rPr>
                <w:rFonts w:ascii="Arial" w:eastAsia="Times New Roman" w:hAnsi="Arial" w:cs="Arial"/>
                <w:color w:val="000000"/>
                <w:lang w:eastAsia="en-GB"/>
              </w:rPr>
              <w:t>Oxford’s waterways</w:t>
            </w:r>
          </w:p>
        </w:tc>
      </w:tr>
    </w:tbl>
    <w:p w:rsidR="003650E9" w:rsidRDefault="003650E9">
      <w:pPr>
        <w:rPr>
          <w:rFonts w:ascii="Arial" w:hAnsi="Arial" w:cs="Arial"/>
          <w:sz w:val="24"/>
        </w:rPr>
      </w:pPr>
    </w:p>
    <w:p w:rsidR="003650E9" w:rsidRPr="003650E9" w:rsidRDefault="003650E9">
      <w:pPr>
        <w:rPr>
          <w:rFonts w:ascii="Arial" w:hAnsi="Arial" w:cs="Arial"/>
          <w:sz w:val="24"/>
          <w:u w:val="single"/>
        </w:rPr>
      </w:pPr>
      <w:r w:rsidRPr="003650E9">
        <w:rPr>
          <w:rFonts w:ascii="Arial" w:hAnsi="Arial" w:cs="Arial"/>
          <w:sz w:val="24"/>
          <w:u w:val="single"/>
        </w:rPr>
        <w:t>Finance and Performance Panel</w:t>
      </w:r>
    </w:p>
    <w:tbl>
      <w:tblPr>
        <w:tblW w:w="6516" w:type="dxa"/>
        <w:tblLook w:val="04A0" w:firstRow="1" w:lastRow="0" w:firstColumn="1" w:lastColumn="0" w:noHBand="0" w:noVBand="1"/>
      </w:tblPr>
      <w:tblGrid>
        <w:gridCol w:w="6516"/>
      </w:tblGrid>
      <w:tr w:rsidR="003650E9" w:rsidRPr="003650E9" w:rsidTr="00A01DD9">
        <w:trPr>
          <w:trHeight w:val="51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13.</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Fusion Lifestyle performance  report</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20.</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Budget Review 2019/20 recommendations</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21.</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Budget 2020/21</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22.</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 xml:space="preserve">Treasury </w:t>
            </w:r>
            <w:proofErr w:type="spellStart"/>
            <w:r w:rsidRPr="003650E9">
              <w:rPr>
                <w:rFonts w:ascii="Arial" w:eastAsia="Times New Roman" w:hAnsi="Arial" w:cs="Arial"/>
                <w:color w:val="000000"/>
                <w:lang w:eastAsia="en-GB"/>
              </w:rPr>
              <w:t>Mid Year</w:t>
            </w:r>
            <w:proofErr w:type="spellEnd"/>
            <w:r w:rsidRPr="003650E9">
              <w:rPr>
                <w:rFonts w:ascii="Arial" w:eastAsia="Times New Roman" w:hAnsi="Arial" w:cs="Arial"/>
                <w:color w:val="000000"/>
                <w:lang w:eastAsia="en-GB"/>
              </w:rPr>
              <w:t xml:space="preserve"> performance</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23.</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Capital Strategy 2021/22</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24.</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Treasury Management Strategy 2021/22</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25.</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Monitoring social value</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lastRenderedPageBreak/>
              <w:t>28.</w:t>
            </w:r>
            <w:r w:rsidRPr="003650E9">
              <w:rPr>
                <w:rFonts w:ascii="Arial" w:eastAsia="Times New Roman" w:hAnsi="Arial" w:cs="Arial"/>
                <w:color w:val="000000"/>
                <w:sz w:val="14"/>
                <w:szCs w:val="14"/>
                <w:lang w:eastAsia="en-GB"/>
              </w:rPr>
              <w:t xml:space="preserve">  </w:t>
            </w:r>
            <w:r w:rsidRPr="003650E9">
              <w:rPr>
                <w:rFonts w:ascii="Arial" w:eastAsia="Times New Roman" w:hAnsi="Arial" w:cs="Arial"/>
                <w:color w:val="000000"/>
                <w:lang w:eastAsia="en-GB"/>
              </w:rPr>
              <w:t>Council performance (4 items)</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26. Integrated Performance Reports</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30. Infrastructure Funding Statement</w:t>
            </w:r>
          </w:p>
        </w:tc>
      </w:tr>
      <w:tr w:rsidR="003650E9" w:rsidRPr="003650E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650E9" w:rsidRPr="003650E9" w:rsidRDefault="003650E9" w:rsidP="003650E9">
            <w:pPr>
              <w:spacing w:after="0" w:line="240" w:lineRule="auto"/>
              <w:rPr>
                <w:rFonts w:ascii="Arial" w:eastAsia="Times New Roman" w:hAnsi="Arial" w:cs="Arial"/>
                <w:color w:val="000000"/>
                <w:lang w:eastAsia="en-GB"/>
              </w:rPr>
            </w:pPr>
            <w:r w:rsidRPr="003650E9">
              <w:rPr>
                <w:rFonts w:ascii="Arial" w:eastAsia="Times New Roman" w:hAnsi="Arial" w:cs="Arial"/>
                <w:color w:val="000000"/>
                <w:lang w:eastAsia="en-GB"/>
              </w:rPr>
              <w:t>39. Council Borrowing Options</w:t>
            </w:r>
          </w:p>
        </w:tc>
      </w:tr>
    </w:tbl>
    <w:p w:rsidR="003650E9" w:rsidRDefault="003650E9">
      <w:pPr>
        <w:rPr>
          <w:rFonts w:ascii="Arial" w:hAnsi="Arial" w:cs="Arial"/>
          <w:sz w:val="24"/>
        </w:rPr>
      </w:pPr>
    </w:p>
    <w:p w:rsidR="00A01DD9" w:rsidRDefault="00A01DD9">
      <w:pPr>
        <w:rPr>
          <w:rFonts w:ascii="Arial" w:hAnsi="Arial" w:cs="Arial"/>
          <w:sz w:val="24"/>
          <w:u w:val="single"/>
        </w:rPr>
      </w:pPr>
      <w:r w:rsidRPr="00A01DD9">
        <w:rPr>
          <w:rFonts w:ascii="Arial" w:hAnsi="Arial" w:cs="Arial"/>
          <w:sz w:val="24"/>
          <w:u w:val="single"/>
        </w:rPr>
        <w:t>Housing and Homelessness Panel</w:t>
      </w:r>
    </w:p>
    <w:tbl>
      <w:tblPr>
        <w:tblW w:w="6516" w:type="dxa"/>
        <w:tblLook w:val="04A0" w:firstRow="1" w:lastRow="0" w:firstColumn="1" w:lastColumn="0" w:noHBand="0" w:noVBand="1"/>
      </w:tblPr>
      <w:tblGrid>
        <w:gridCol w:w="6516"/>
      </w:tblGrid>
      <w:tr w:rsidR="00A01DD9" w:rsidRPr="00A01DD9" w:rsidTr="00A01DD9">
        <w:trPr>
          <w:trHeight w:val="51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DD9" w:rsidRPr="00A01DD9" w:rsidRDefault="00A01DD9" w:rsidP="00A01DD9">
            <w:pPr>
              <w:spacing w:after="0" w:line="240" w:lineRule="auto"/>
              <w:rPr>
                <w:rFonts w:ascii="Arial" w:eastAsia="Times New Roman" w:hAnsi="Arial" w:cs="Arial"/>
                <w:color w:val="000000"/>
                <w:lang w:eastAsia="en-GB"/>
              </w:rPr>
            </w:pPr>
            <w:r w:rsidRPr="00A01DD9">
              <w:rPr>
                <w:rFonts w:ascii="Arial" w:eastAsia="Times New Roman" w:hAnsi="Arial" w:cs="Arial"/>
                <w:color w:val="000000"/>
                <w:lang w:eastAsia="en-GB"/>
              </w:rPr>
              <w:t>18.</w:t>
            </w:r>
            <w:r w:rsidRPr="00A01DD9">
              <w:rPr>
                <w:rFonts w:ascii="Arial" w:eastAsia="Times New Roman" w:hAnsi="Arial" w:cs="Arial"/>
                <w:color w:val="000000"/>
                <w:sz w:val="14"/>
                <w:szCs w:val="14"/>
                <w:lang w:eastAsia="en-GB"/>
              </w:rPr>
              <w:t xml:space="preserve">  </w:t>
            </w:r>
            <w:r w:rsidRPr="00A01DD9">
              <w:rPr>
                <w:rFonts w:ascii="Arial" w:eastAsia="Times New Roman" w:hAnsi="Arial" w:cs="Arial"/>
                <w:color w:val="000000"/>
                <w:lang w:eastAsia="en-GB"/>
              </w:rPr>
              <w:t>Tenant Satisfaction</w:t>
            </w:r>
          </w:p>
        </w:tc>
      </w:tr>
      <w:tr w:rsidR="00A01DD9" w:rsidRPr="00A01DD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01DD9" w:rsidRPr="00A01DD9" w:rsidRDefault="00A01DD9" w:rsidP="00A01DD9">
            <w:pPr>
              <w:spacing w:after="0" w:line="240" w:lineRule="auto"/>
              <w:rPr>
                <w:rFonts w:ascii="Arial" w:eastAsia="Times New Roman" w:hAnsi="Arial" w:cs="Arial"/>
                <w:color w:val="000000"/>
                <w:lang w:eastAsia="en-GB"/>
              </w:rPr>
            </w:pPr>
            <w:r w:rsidRPr="00A01DD9">
              <w:rPr>
                <w:rFonts w:ascii="Arial" w:eastAsia="Times New Roman" w:hAnsi="Arial" w:cs="Arial"/>
                <w:color w:val="000000"/>
                <w:lang w:eastAsia="en-GB"/>
              </w:rPr>
              <w:t>32. Additional HMO Licensing</w:t>
            </w:r>
          </w:p>
        </w:tc>
      </w:tr>
      <w:tr w:rsidR="00A01DD9" w:rsidRPr="00A01DD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01DD9" w:rsidRPr="00A01DD9" w:rsidRDefault="00A01DD9" w:rsidP="00A01DD9">
            <w:pPr>
              <w:spacing w:after="0" w:line="240" w:lineRule="auto"/>
              <w:rPr>
                <w:rFonts w:ascii="Arial" w:eastAsia="Times New Roman" w:hAnsi="Arial" w:cs="Arial"/>
                <w:color w:val="000000"/>
                <w:lang w:eastAsia="en-GB"/>
              </w:rPr>
            </w:pPr>
            <w:r w:rsidRPr="00A01DD9">
              <w:rPr>
                <w:rFonts w:ascii="Arial" w:eastAsia="Times New Roman" w:hAnsi="Arial" w:cs="Arial"/>
                <w:color w:val="000000"/>
                <w:lang w:eastAsia="en-GB"/>
              </w:rPr>
              <w:t>33. Update of Housing Assistance and Disabled Adaptions Policy</w:t>
            </w:r>
          </w:p>
        </w:tc>
      </w:tr>
      <w:tr w:rsidR="00A01DD9" w:rsidRPr="00A01DD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01DD9" w:rsidRPr="00A01DD9" w:rsidRDefault="00A01DD9" w:rsidP="00A01DD9">
            <w:pPr>
              <w:spacing w:after="0" w:line="240" w:lineRule="auto"/>
              <w:rPr>
                <w:rFonts w:ascii="Arial" w:eastAsia="Times New Roman" w:hAnsi="Arial" w:cs="Arial"/>
                <w:color w:val="000000"/>
                <w:lang w:eastAsia="en-GB"/>
              </w:rPr>
            </w:pPr>
            <w:r w:rsidRPr="00A01DD9">
              <w:rPr>
                <w:rFonts w:ascii="Arial" w:eastAsia="Times New Roman" w:hAnsi="Arial" w:cs="Arial"/>
                <w:color w:val="000000"/>
                <w:lang w:eastAsia="en-GB"/>
              </w:rPr>
              <w:t>35. Allocation of Homelessness Prevention Funds 2021/22</w:t>
            </w:r>
          </w:p>
        </w:tc>
      </w:tr>
      <w:tr w:rsidR="00A01DD9" w:rsidRPr="00A01DD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01DD9" w:rsidRPr="00A01DD9" w:rsidRDefault="00A01DD9" w:rsidP="00A01DD9">
            <w:pPr>
              <w:spacing w:after="0" w:line="240" w:lineRule="auto"/>
              <w:rPr>
                <w:rFonts w:ascii="Arial" w:eastAsia="Times New Roman" w:hAnsi="Arial" w:cs="Arial"/>
                <w:color w:val="000000"/>
                <w:lang w:eastAsia="en-GB"/>
              </w:rPr>
            </w:pPr>
            <w:r w:rsidRPr="00A01DD9">
              <w:rPr>
                <w:rFonts w:ascii="Arial" w:eastAsia="Times New Roman" w:hAnsi="Arial" w:cs="Arial"/>
                <w:color w:val="000000"/>
                <w:lang w:eastAsia="en-GB"/>
              </w:rPr>
              <w:t>36. Capitalisation of energy efficiency measures</w:t>
            </w:r>
          </w:p>
        </w:tc>
      </w:tr>
      <w:tr w:rsidR="00A01DD9" w:rsidRPr="00A01DD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01DD9" w:rsidRPr="00A01DD9" w:rsidRDefault="00A01DD9" w:rsidP="00A01DD9">
            <w:pPr>
              <w:spacing w:after="0" w:line="240" w:lineRule="auto"/>
              <w:rPr>
                <w:rFonts w:ascii="Arial" w:eastAsia="Times New Roman" w:hAnsi="Arial" w:cs="Arial"/>
                <w:color w:val="000000"/>
                <w:lang w:eastAsia="en-GB"/>
              </w:rPr>
            </w:pPr>
            <w:r w:rsidRPr="00A01DD9">
              <w:rPr>
                <w:rFonts w:ascii="Arial" w:eastAsia="Times New Roman" w:hAnsi="Arial" w:cs="Arial"/>
                <w:color w:val="000000"/>
                <w:lang w:eastAsia="en-GB"/>
              </w:rPr>
              <w:t>37. Retrofitting Plans</w:t>
            </w:r>
          </w:p>
        </w:tc>
        <w:bookmarkStart w:id="0" w:name="_GoBack"/>
        <w:bookmarkEnd w:id="0"/>
      </w:tr>
      <w:tr w:rsidR="00A01DD9" w:rsidRPr="00A01DD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01DD9" w:rsidRPr="00A01DD9" w:rsidRDefault="00A01DD9" w:rsidP="00A01DD9">
            <w:pPr>
              <w:spacing w:after="0" w:line="240" w:lineRule="auto"/>
              <w:rPr>
                <w:rFonts w:ascii="Arial" w:eastAsia="Times New Roman" w:hAnsi="Arial" w:cs="Arial"/>
                <w:color w:val="000000"/>
                <w:lang w:eastAsia="en-GB"/>
              </w:rPr>
            </w:pPr>
            <w:r w:rsidRPr="00A01DD9">
              <w:rPr>
                <w:rFonts w:ascii="Arial" w:eastAsia="Times New Roman" w:hAnsi="Arial" w:cs="Arial"/>
                <w:color w:val="000000"/>
                <w:lang w:eastAsia="en-GB"/>
              </w:rPr>
              <w:t>41. Floyds Row update</w:t>
            </w:r>
          </w:p>
        </w:tc>
      </w:tr>
      <w:tr w:rsidR="00A01DD9" w:rsidRPr="00A01DD9" w:rsidTr="00A01DD9">
        <w:trPr>
          <w:trHeight w:val="51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01DD9" w:rsidRPr="00A01DD9" w:rsidRDefault="00A01DD9" w:rsidP="00A01DD9">
            <w:pPr>
              <w:spacing w:after="0" w:line="240" w:lineRule="auto"/>
              <w:rPr>
                <w:rFonts w:ascii="Arial" w:eastAsia="Times New Roman" w:hAnsi="Arial" w:cs="Arial"/>
                <w:color w:val="000000"/>
                <w:lang w:eastAsia="en-GB"/>
              </w:rPr>
            </w:pPr>
            <w:r w:rsidRPr="00A01DD9">
              <w:rPr>
                <w:rFonts w:ascii="Arial" w:eastAsia="Times New Roman" w:hAnsi="Arial" w:cs="Arial"/>
                <w:color w:val="000000"/>
                <w:lang w:eastAsia="en-GB"/>
              </w:rPr>
              <w:t>42. Housing Performance</w:t>
            </w:r>
            <w:r>
              <w:rPr>
                <w:rFonts w:ascii="Arial" w:eastAsia="Times New Roman" w:hAnsi="Arial" w:cs="Arial"/>
                <w:color w:val="000000"/>
                <w:lang w:eastAsia="en-GB"/>
              </w:rPr>
              <w:t xml:space="preserve"> (4 items)</w:t>
            </w:r>
          </w:p>
        </w:tc>
      </w:tr>
    </w:tbl>
    <w:p w:rsidR="00A01DD9" w:rsidRPr="00A01DD9" w:rsidRDefault="00A01DD9">
      <w:pPr>
        <w:rPr>
          <w:rFonts w:ascii="Arial" w:hAnsi="Arial" w:cs="Arial"/>
          <w:sz w:val="24"/>
          <w:u w:val="single"/>
        </w:rPr>
      </w:pPr>
    </w:p>
    <w:sectPr w:rsidR="00A01DD9" w:rsidRPr="00A01DD9" w:rsidSect="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1D2"/>
    <w:multiLevelType w:val="hybridMultilevel"/>
    <w:tmpl w:val="02166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E5"/>
    <w:rsid w:val="003650E9"/>
    <w:rsid w:val="00533FCD"/>
    <w:rsid w:val="009671E5"/>
    <w:rsid w:val="00A01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15AE2-45EC-4241-BEF0-848228E0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7782">
      <w:bodyDiv w:val="1"/>
      <w:marLeft w:val="0"/>
      <w:marRight w:val="0"/>
      <w:marTop w:val="0"/>
      <w:marBottom w:val="0"/>
      <w:divBdr>
        <w:top w:val="none" w:sz="0" w:space="0" w:color="auto"/>
        <w:left w:val="none" w:sz="0" w:space="0" w:color="auto"/>
        <w:bottom w:val="none" w:sz="0" w:space="0" w:color="auto"/>
        <w:right w:val="none" w:sz="0" w:space="0" w:color="auto"/>
      </w:divBdr>
    </w:div>
    <w:div w:id="124155457">
      <w:bodyDiv w:val="1"/>
      <w:marLeft w:val="0"/>
      <w:marRight w:val="0"/>
      <w:marTop w:val="0"/>
      <w:marBottom w:val="0"/>
      <w:divBdr>
        <w:top w:val="none" w:sz="0" w:space="0" w:color="auto"/>
        <w:left w:val="none" w:sz="0" w:space="0" w:color="auto"/>
        <w:bottom w:val="none" w:sz="0" w:space="0" w:color="auto"/>
        <w:right w:val="none" w:sz="0" w:space="0" w:color="auto"/>
      </w:divBdr>
    </w:div>
    <w:div w:id="568156560">
      <w:bodyDiv w:val="1"/>
      <w:marLeft w:val="0"/>
      <w:marRight w:val="0"/>
      <w:marTop w:val="0"/>
      <w:marBottom w:val="0"/>
      <w:divBdr>
        <w:top w:val="none" w:sz="0" w:space="0" w:color="auto"/>
        <w:left w:val="none" w:sz="0" w:space="0" w:color="auto"/>
        <w:bottom w:val="none" w:sz="0" w:space="0" w:color="auto"/>
        <w:right w:val="none" w:sz="0" w:space="0" w:color="auto"/>
      </w:divBdr>
    </w:div>
    <w:div w:id="976835083">
      <w:bodyDiv w:val="1"/>
      <w:marLeft w:val="0"/>
      <w:marRight w:val="0"/>
      <w:marTop w:val="0"/>
      <w:marBottom w:val="0"/>
      <w:divBdr>
        <w:top w:val="none" w:sz="0" w:space="0" w:color="auto"/>
        <w:left w:val="none" w:sz="0" w:space="0" w:color="auto"/>
        <w:bottom w:val="none" w:sz="0" w:space="0" w:color="auto"/>
        <w:right w:val="none" w:sz="0" w:space="0" w:color="auto"/>
      </w:divBdr>
    </w:div>
    <w:div w:id="1123692249">
      <w:bodyDiv w:val="1"/>
      <w:marLeft w:val="0"/>
      <w:marRight w:val="0"/>
      <w:marTop w:val="0"/>
      <w:marBottom w:val="0"/>
      <w:divBdr>
        <w:top w:val="none" w:sz="0" w:space="0" w:color="auto"/>
        <w:left w:val="none" w:sz="0" w:space="0" w:color="auto"/>
        <w:bottom w:val="none" w:sz="0" w:space="0" w:color="auto"/>
        <w:right w:val="none" w:sz="0" w:space="0" w:color="auto"/>
      </w:divBdr>
    </w:div>
    <w:div w:id="1444154473">
      <w:bodyDiv w:val="1"/>
      <w:marLeft w:val="0"/>
      <w:marRight w:val="0"/>
      <w:marTop w:val="0"/>
      <w:marBottom w:val="0"/>
      <w:divBdr>
        <w:top w:val="none" w:sz="0" w:space="0" w:color="auto"/>
        <w:left w:val="none" w:sz="0" w:space="0" w:color="auto"/>
        <w:bottom w:val="none" w:sz="0" w:space="0" w:color="auto"/>
        <w:right w:val="none" w:sz="0" w:space="0" w:color="auto"/>
      </w:divBdr>
    </w:div>
    <w:div w:id="1540121491">
      <w:bodyDiv w:val="1"/>
      <w:marLeft w:val="0"/>
      <w:marRight w:val="0"/>
      <w:marTop w:val="0"/>
      <w:marBottom w:val="0"/>
      <w:divBdr>
        <w:top w:val="none" w:sz="0" w:space="0" w:color="auto"/>
        <w:left w:val="none" w:sz="0" w:space="0" w:color="auto"/>
        <w:bottom w:val="none" w:sz="0" w:space="0" w:color="auto"/>
        <w:right w:val="none" w:sz="0" w:space="0" w:color="auto"/>
      </w:divBdr>
    </w:div>
    <w:div w:id="16194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BF245ED</Template>
  <TotalTime>32</TotalTime>
  <Pages>9</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2020-06-22T12:41:00Z</dcterms:created>
  <dcterms:modified xsi:type="dcterms:W3CDTF">2020-06-22T13:13:00Z</dcterms:modified>
</cp:coreProperties>
</file>